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26" w:rsidRDefault="005F0926" w:rsidP="005F0926">
      <w:pPr>
        <w:pStyle w:val="titlencpi"/>
        <w:ind w:right="1"/>
        <w:jc w:val="center"/>
      </w:pPr>
      <w:r>
        <w:t xml:space="preserve">О </w:t>
      </w:r>
      <w:bookmarkStart w:id="0" w:name="_GoBack"/>
      <w:bookmarkEnd w:id="0"/>
      <w:r>
        <w:t>Законе Республики Беларусь от 1 июня 2026 г. № 148-З «Об изменении Водного кодекса Республики Беларусь»</w:t>
      </w:r>
    </w:p>
    <w:p w:rsidR="005F0926" w:rsidRDefault="005F0926">
      <w:pPr>
        <w:pStyle w:val="newncpi"/>
      </w:pPr>
      <w:r>
        <w:t>Новой редакцией Водного кодекса упраздняются 3 административные процедуры в отношении субъектов хозяйствования:</w:t>
      </w:r>
    </w:p>
    <w:p w:rsidR="005F0926" w:rsidRDefault="005F0926">
      <w:pPr>
        <w:pStyle w:val="newncpi"/>
      </w:pPr>
      <w:r>
        <w:t>согласование территориальными органами Минприроды выполнения на поверхностных водных объектах работ, оказывающих вредное воздействие на состояние рыбных ресурсов, – поскольку статьей 23 Закона Республики Беларусь «О животном мире» предусмотрен иной порядок осуществления таких работ;</w:t>
      </w:r>
    </w:p>
    <w:p w:rsidR="005F0926" w:rsidRDefault="005F0926">
      <w:pPr>
        <w:pStyle w:val="newncpi"/>
      </w:pPr>
      <w:r>
        <w:t>получение решения исполкомов о предоставлении водного объекта в обособленное водопользование с выдачей государственного акта на право обособленного водопользования – поскольку данная административная процедура с 2015 года не получила практического применения;</w:t>
      </w:r>
    </w:p>
    <w:p w:rsidR="005F0926" w:rsidRDefault="005F0926">
      <w:pPr>
        <w:pStyle w:val="newncpi"/>
      </w:pPr>
      <w:r>
        <w:t>получение заключения государственного предприятия «</w:t>
      </w:r>
      <w:proofErr w:type="spellStart"/>
      <w:r>
        <w:t>Белгосгеоцентр</w:t>
      </w:r>
      <w:proofErr w:type="spellEnd"/>
      <w:r>
        <w:t>» о возможности добычи заявленных водопользователем объемов подземных вод – так как указанные в нем сведения дублируют утвержденные запасы подземных вод, предусмотренные статьей 58 Кодекса Республики Беларусь о недрах.</w:t>
      </w:r>
    </w:p>
    <w:p w:rsidR="005F0926" w:rsidRDefault="005F0926">
      <w:pPr>
        <w:pStyle w:val="newncpi"/>
      </w:pPr>
      <w:r>
        <w:t>Также Законом Республики Беларусь от 01.06.2026 № 148-З «Об изменении Водного кодекса Республики Беларусь» (далее – Закон) упраздняются 2 административные процедуры в отношении физических лиц:</w:t>
      </w:r>
    </w:p>
    <w:p w:rsidR="005F0926" w:rsidRDefault="005F0926">
      <w:pPr>
        <w:pStyle w:val="newncpi"/>
      </w:pPr>
      <w:r>
        <w:t>выдача территориальными органами Минприроды разрешения на специальное водопользование на добычу (изъятие) вод в объеме более 5,0 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 xml:space="preserve"> с применением водозаборных сооружений – теперь право такого водопользования будет подтверждаться документом, удостоверяющим право на земельный участок;</w:t>
      </w:r>
    </w:p>
    <w:p w:rsidR="005F0926" w:rsidRDefault="005F0926">
      <w:pPr>
        <w:pStyle w:val="newncpi"/>
      </w:pPr>
      <w:r>
        <w:t>выдача государственным предприятием «</w:t>
      </w:r>
      <w:proofErr w:type="spellStart"/>
      <w:r>
        <w:t>Белгосгеоцентр</w:t>
      </w:r>
      <w:proofErr w:type="spellEnd"/>
      <w:r>
        <w:t>» заключения о возможности добычи заявленных водопользователем объемов подземных вод.</w:t>
      </w:r>
    </w:p>
    <w:p w:rsidR="005F0926" w:rsidRDefault="005F0926">
      <w:pPr>
        <w:pStyle w:val="newncpi"/>
      </w:pPr>
      <w:r>
        <w:t xml:space="preserve">С целью упорядочивания вопросов, связанных с добычей </w:t>
      </w:r>
      <w:proofErr w:type="spellStart"/>
      <w:r>
        <w:t>топляковой</w:t>
      </w:r>
      <w:proofErr w:type="spellEnd"/>
      <w:r>
        <w:t xml:space="preserve"> древесины, вводится новая административная процедура по согласованию облисполкомами выполнения работ на поверхностных водных объектах, связанных с добычей </w:t>
      </w:r>
      <w:proofErr w:type="spellStart"/>
      <w:r>
        <w:t>топляковой</w:t>
      </w:r>
      <w:proofErr w:type="spellEnd"/>
      <w:r>
        <w:t xml:space="preserve"> древесины. Порядок согласования выполнения таких работ будет установлен на уровне отдельного постановления Совета Министров Республики Беларусь.</w:t>
      </w:r>
    </w:p>
    <w:p w:rsidR="005F0926" w:rsidRDefault="005F0926">
      <w:pPr>
        <w:pStyle w:val="newncpi"/>
      </w:pPr>
      <w:r>
        <w:t>В целях урегулирования вопроса по использованию поверхностных водных объектов для плавания на сооружениях, не относящихся к маломерным судам (плавучие дома, бани и иные подобные сооружения), компетенция Совета Министров Республики Беларусь дополнена определением порядка их использования с последующей разработкой соответствующего нормативного правового акта.</w:t>
      </w:r>
    </w:p>
    <w:p w:rsidR="005F0926" w:rsidRDefault="005F0926">
      <w:pPr>
        <w:pStyle w:val="newncpi"/>
      </w:pPr>
      <w:r>
        <w:t xml:space="preserve">Закреплена возможность введения местными исполнительными и распорядительными органами запретов и ограничений на осуществление общего водопользования, в </w:t>
      </w:r>
      <w:proofErr w:type="spellStart"/>
      <w:r>
        <w:t>т.ч</w:t>
      </w:r>
      <w:proofErr w:type="spellEnd"/>
      <w:r>
        <w:t>. купания, только при наличии опасности для жизни и здоровья населения в соответствии с определяемыми Правительством критериями.</w:t>
      </w:r>
    </w:p>
    <w:p w:rsidR="005F0926" w:rsidRDefault="005F0926">
      <w:pPr>
        <w:pStyle w:val="newncpi"/>
      </w:pPr>
      <w:r>
        <w:t>На основании многочисленных обращений в Минприроды изменены требования к порядку возведения поверхностных водных объектов физическими лицами. Так, установлен запрет на возведение в границах земельных участков, предоставленных физическим лицам, более 1 пруда-копани, а также иных поверхностных водных объектов. Также определено, что пруды-копани могут занимать не более 5 % от всей территории земельного участка, что позволит обеспечить использование земельных участков по целевому назначению. При этом обращаем внимание физических лиц, что ограничения в отношении водных объектов, которые были возведены на земельных участках до вступления Закона в силу, не распространяются.</w:t>
      </w:r>
    </w:p>
    <w:p w:rsidR="005F0926" w:rsidRDefault="005F0926">
      <w:pPr>
        <w:pStyle w:val="newncpi"/>
      </w:pPr>
      <w:r>
        <w:lastRenderedPageBreak/>
        <w:t>Для физических и юридических лиц закреплена обязанность по обеспечению свободного доступа к водным объектам, расположенным в границах предоставленных им земельных участков, для ликвидации пожара.</w:t>
      </w:r>
    </w:p>
    <w:p w:rsidR="005F0926" w:rsidRDefault="005F0926">
      <w:pPr>
        <w:pStyle w:val="newncpi"/>
      </w:pPr>
      <w:r>
        <w:t>Пересмотрены подходы к выполнению работ по содержанию поверхностных водных объектов в надлежащем состоянии и их благоустройству в целях принятия действенных мер по борьбе с зарастанием водной растительностью. Предусмотрено, что теперь местные исполнительные и распорядительные органы по инициативе физических и юридических лиц вправе привлекать их к выполнению собственными силами и (или) за счет собственных средств работ по содержанию поверхностных водных объектов в надлежащем состоянии и их благоустройству.</w:t>
      </w:r>
    </w:p>
    <w:p w:rsidR="005F0926" w:rsidRDefault="005F0926">
      <w:pPr>
        <w:pStyle w:val="newncpi"/>
      </w:pPr>
      <w:r>
        <w:t>При самовольном выполнении работ на водных объектах, связанных с размещением на поверхностных водных объектах капитальных строений (зданий, сооружений), местным исполнительным и распорядительным органом будет принято одно из следующих решений:</w:t>
      </w:r>
    </w:p>
    <w:p w:rsidR="005F0926" w:rsidRDefault="005F0926">
      <w:pPr>
        <w:pStyle w:val="newncpi"/>
      </w:pPr>
      <w:r>
        <w:t>о сносе самовольно возведенных на поверхностном водном объекте капитальных строений (зданий, сооружений);</w:t>
      </w:r>
    </w:p>
    <w:p w:rsidR="005F0926" w:rsidRDefault="005F0926">
      <w:pPr>
        <w:pStyle w:val="newncpi"/>
      </w:pPr>
      <w:r>
        <w:t>о приведении самовольно возведенных на поверхностном водном объекте капитальных строений (зданий, сооружений) в состояние, соответствующее требованиям функциональных градостроительных регламентов, установленных градостроительными проектами, и требованиям обязательных для соблюдения технических нормативных правовых актов.</w:t>
      </w:r>
    </w:p>
    <w:p w:rsidR="005F0926" w:rsidRDefault="005F0926">
      <w:pPr>
        <w:pStyle w:val="newncpi"/>
      </w:pPr>
      <w:r>
        <w:t>При отказе виновного лица выполнить решения или невыполнении этих решений в установленный срок местным исполнительным и распорядительным органом или уполномоченной им организацией совершаются действия, предусмотренные указанными решениями, за счет виновного лица без компенсации ему средств, затраченных на самовольное выполнение работ на водных объектах.</w:t>
      </w:r>
    </w:p>
    <w:p w:rsidR="005F0926" w:rsidRDefault="005F0926">
      <w:pPr>
        <w:pStyle w:val="newncpi"/>
      </w:pPr>
      <w:r>
        <w:t xml:space="preserve">Переработан механизм порядка установления границ водоохранных зон и прибрежных полос, а также осуществления контроля за осуществлением хозяйственной и иной деятельности на этих территориях, предусматривающий внедрение </w:t>
      </w:r>
      <w:proofErr w:type="spellStart"/>
      <w:r>
        <w:t>цифровизации</w:t>
      </w:r>
      <w:proofErr w:type="spellEnd"/>
      <w:r>
        <w:t xml:space="preserve"> в данный процесс. Новой редакцией Водного кодекса Республики Беларусь предусмотрено, что разработка проектов водоохранных зон и прибрежных полос осуществляется организацией, уполномоченной Минприроды. Установленные в проектах границы водоохранных зон и прибрежных полос в дальнейшем вносятся уполномоченной Минприроды организацией в информационно-аналитическую систему контроля и анализа деятельности в водоохранных зонах «</w:t>
      </w:r>
      <w:proofErr w:type="spellStart"/>
      <w:r>
        <w:t>Водоохранные</w:t>
      </w:r>
      <w:proofErr w:type="spellEnd"/>
      <w:r>
        <w:t xml:space="preserve"> зоны» и передаются в Государственный комитет по имуществу Республики Беларусь для отражения в </w:t>
      </w:r>
      <w:proofErr w:type="spellStart"/>
      <w:r>
        <w:t>геопортале</w:t>
      </w:r>
      <w:proofErr w:type="spellEnd"/>
      <w:r>
        <w:t xml:space="preserve"> земельно-информационной системы Республики Беларусь.</w:t>
      </w:r>
    </w:p>
    <w:p w:rsidR="005F0926" w:rsidRDefault="005F0926">
      <w:pPr>
        <w:pStyle w:val="newncpi"/>
      </w:pPr>
      <w:r>
        <w:t>В аренду с 1 января 2027 года юридическим лицам можно передавать поверхностные водные объекты не только для рыбоводства, но и для рекреации, физической культуры, спорта и туризма, что одновременно позволит возложить на них обязанности по содержанию таких водных объектов в надлежащем состоянии и их благоустройству за счет собственных средств.</w:t>
      </w:r>
    </w:p>
    <w:p w:rsidR="005F0926" w:rsidRDefault="005F0926">
      <w:pPr>
        <w:pStyle w:val="newncpi"/>
      </w:pPr>
      <w:r>
        <w:t>В целях защиты интересов населения в новой редакции кодекса закреплено, что не допускается передача в аренду для рекреации, физической культуры, спорта и туризма части поверхностного водного объекта в случае, если это единственный (единственный благоустроенный) доступ к поверхностному водному объекту.</w:t>
      </w:r>
    </w:p>
    <w:p w:rsidR="005F0926" w:rsidRDefault="005F0926">
      <w:pPr>
        <w:pStyle w:val="newncpi"/>
      </w:pPr>
      <w:r>
        <w:t>Также Водным кодексом закреплено, что арендатор не вправе препятствовать свободному доступу физических лиц к переданному ему в аренду водному объекту (его части) и осуществлению ими права общего природопользования, за исключением ловли рыбы в водных объектах, переданных арендатору для рыбоводства.</w:t>
      </w:r>
    </w:p>
    <w:p w:rsidR="005F0926" w:rsidRDefault="005F0926">
      <w:pPr>
        <w:pStyle w:val="newncpi"/>
      </w:pPr>
      <w:r>
        <w:t> </w:t>
      </w:r>
    </w:p>
    <w:p w:rsidR="00EE7950" w:rsidRPr="005F0926" w:rsidRDefault="005F0926">
      <w:pPr>
        <w:rPr>
          <w:rFonts w:ascii="Times New Roman" w:hAnsi="Times New Roman" w:cs="Times New Roman"/>
          <w:sz w:val="24"/>
          <w:szCs w:val="24"/>
        </w:rPr>
      </w:pPr>
      <w:r w:rsidRPr="005F0926">
        <w:rPr>
          <w:rFonts w:ascii="Times New Roman" w:hAnsi="Times New Roman" w:cs="Times New Roman"/>
          <w:sz w:val="24"/>
          <w:szCs w:val="24"/>
        </w:rPr>
        <w:t>Прокурор Ушачского района</w:t>
      </w:r>
      <w:r w:rsidRPr="005F0926">
        <w:rPr>
          <w:rFonts w:ascii="Times New Roman" w:hAnsi="Times New Roman" w:cs="Times New Roman"/>
          <w:sz w:val="24"/>
          <w:szCs w:val="24"/>
        </w:rPr>
        <w:tab/>
      </w:r>
      <w:r w:rsidRPr="005F0926">
        <w:rPr>
          <w:rFonts w:ascii="Times New Roman" w:hAnsi="Times New Roman" w:cs="Times New Roman"/>
          <w:sz w:val="24"/>
          <w:szCs w:val="24"/>
        </w:rPr>
        <w:tab/>
      </w:r>
      <w:r w:rsidRPr="005F0926">
        <w:rPr>
          <w:rFonts w:ascii="Times New Roman" w:hAnsi="Times New Roman" w:cs="Times New Roman"/>
          <w:sz w:val="24"/>
          <w:szCs w:val="24"/>
        </w:rPr>
        <w:tab/>
      </w:r>
      <w:r w:rsidRPr="005F0926">
        <w:rPr>
          <w:rFonts w:ascii="Times New Roman" w:hAnsi="Times New Roman" w:cs="Times New Roman"/>
          <w:sz w:val="24"/>
          <w:szCs w:val="24"/>
        </w:rPr>
        <w:tab/>
      </w:r>
      <w:r w:rsidRPr="005F0926">
        <w:rPr>
          <w:rFonts w:ascii="Times New Roman" w:hAnsi="Times New Roman" w:cs="Times New Roman"/>
          <w:sz w:val="24"/>
          <w:szCs w:val="24"/>
        </w:rPr>
        <w:tab/>
      </w:r>
      <w:r w:rsidRPr="005F0926">
        <w:rPr>
          <w:rFonts w:ascii="Times New Roman" w:hAnsi="Times New Roman" w:cs="Times New Roman"/>
          <w:sz w:val="24"/>
          <w:szCs w:val="24"/>
        </w:rPr>
        <w:tab/>
      </w:r>
      <w:r w:rsidRPr="005F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0926">
        <w:rPr>
          <w:rFonts w:ascii="Times New Roman" w:hAnsi="Times New Roman" w:cs="Times New Roman"/>
          <w:sz w:val="24"/>
          <w:szCs w:val="24"/>
        </w:rPr>
        <w:t>Н.Ф.Оводнёва</w:t>
      </w:r>
      <w:proofErr w:type="spellEnd"/>
    </w:p>
    <w:sectPr w:rsidR="00EE7950" w:rsidRPr="005F0926" w:rsidSect="005F0926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1C" w:rsidRDefault="00812A1C" w:rsidP="005F0926">
      <w:pPr>
        <w:spacing w:after="0" w:line="240" w:lineRule="auto"/>
      </w:pPr>
      <w:r>
        <w:separator/>
      </w:r>
    </w:p>
  </w:endnote>
  <w:endnote w:type="continuationSeparator" w:id="0">
    <w:p w:rsidR="00812A1C" w:rsidRDefault="00812A1C" w:rsidP="005F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1C" w:rsidRDefault="00812A1C" w:rsidP="005F0926">
      <w:pPr>
        <w:spacing w:after="0" w:line="240" w:lineRule="auto"/>
      </w:pPr>
      <w:r>
        <w:separator/>
      </w:r>
    </w:p>
  </w:footnote>
  <w:footnote w:type="continuationSeparator" w:id="0">
    <w:p w:rsidR="00812A1C" w:rsidRDefault="00812A1C" w:rsidP="005F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6" w:rsidRDefault="005F0926" w:rsidP="007E270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F0926" w:rsidRDefault="005F09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6" w:rsidRPr="005F0926" w:rsidRDefault="005F0926" w:rsidP="007E270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F0926">
      <w:rPr>
        <w:rStyle w:val="a7"/>
        <w:rFonts w:ascii="Times New Roman" w:hAnsi="Times New Roman" w:cs="Times New Roman"/>
        <w:sz w:val="24"/>
      </w:rPr>
      <w:fldChar w:fldCharType="begin"/>
    </w:r>
    <w:r w:rsidRPr="005F092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F092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F0926">
      <w:rPr>
        <w:rStyle w:val="a7"/>
        <w:rFonts w:ascii="Times New Roman" w:hAnsi="Times New Roman" w:cs="Times New Roman"/>
        <w:sz w:val="24"/>
      </w:rPr>
      <w:fldChar w:fldCharType="end"/>
    </w:r>
  </w:p>
  <w:p w:rsidR="005F0926" w:rsidRPr="005F0926" w:rsidRDefault="005F092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26"/>
    <w:rsid w:val="00381C55"/>
    <w:rsid w:val="005F0926"/>
    <w:rsid w:val="00812A1C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45C08"/>
  <w15:chartTrackingRefBased/>
  <w15:docId w15:val="{9E84DD6F-0CED-43C6-A76F-8FFD6130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F09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5F09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F09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F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926"/>
  </w:style>
  <w:style w:type="paragraph" w:styleId="a5">
    <w:name w:val="footer"/>
    <w:basedOn w:val="a"/>
    <w:link w:val="a6"/>
    <w:uiPriority w:val="99"/>
    <w:unhideWhenUsed/>
    <w:rsid w:val="005F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926"/>
  </w:style>
  <w:style w:type="character" w:styleId="a7">
    <w:name w:val="page number"/>
    <w:basedOn w:val="a0"/>
    <w:uiPriority w:val="99"/>
    <w:semiHidden/>
    <w:unhideWhenUsed/>
    <w:rsid w:val="005F0926"/>
  </w:style>
  <w:style w:type="table" w:styleId="a8">
    <w:name w:val="Table Grid"/>
    <w:basedOn w:val="a1"/>
    <w:uiPriority w:val="39"/>
    <w:rsid w:val="005F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6088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2026-06-25T14:42:00Z</cp:lastPrinted>
  <dcterms:created xsi:type="dcterms:W3CDTF">2026-06-25T14:39:00Z</dcterms:created>
  <dcterms:modified xsi:type="dcterms:W3CDTF">2026-06-25T14:43:00Z</dcterms:modified>
</cp:coreProperties>
</file>