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1C" w:rsidRDefault="00BE7B1C" w:rsidP="00BE7B1C">
      <w:pPr>
        <w:tabs>
          <w:tab w:val="left" w:pos="7560"/>
        </w:tabs>
        <w:jc w:val="center"/>
        <w:rPr>
          <w:sz w:val="30"/>
          <w:szCs w:val="30"/>
        </w:rPr>
      </w:pPr>
      <w:r>
        <w:rPr>
          <w:sz w:val="30"/>
          <w:szCs w:val="30"/>
        </w:rPr>
        <w:t>О применении Перечня выплат</w:t>
      </w:r>
    </w:p>
    <w:p w:rsidR="00BE7B1C" w:rsidRDefault="00BE7B1C" w:rsidP="00BE7B1C">
      <w:pPr>
        <w:tabs>
          <w:tab w:val="left" w:pos="7560"/>
        </w:tabs>
        <w:jc w:val="center"/>
        <w:rPr>
          <w:sz w:val="30"/>
          <w:szCs w:val="30"/>
        </w:rPr>
      </w:pPr>
    </w:p>
    <w:p w:rsidR="00BE7B1C" w:rsidRDefault="00B32DB3" w:rsidP="00BE7B1C">
      <w:pPr>
        <w:tabs>
          <w:tab w:val="left" w:pos="7560"/>
        </w:tabs>
        <w:jc w:val="both"/>
        <w:rPr>
          <w:sz w:val="30"/>
          <w:szCs w:val="30"/>
        </w:rPr>
      </w:pPr>
      <w:r>
        <w:rPr>
          <w:sz w:val="30"/>
          <w:szCs w:val="30"/>
        </w:rPr>
        <w:t xml:space="preserve">          </w:t>
      </w:r>
      <w:bookmarkStart w:id="0" w:name="_GoBack"/>
      <w:bookmarkEnd w:id="0"/>
      <w:r w:rsidR="00BE7B1C">
        <w:rPr>
          <w:sz w:val="30"/>
          <w:szCs w:val="30"/>
        </w:rPr>
        <w:t xml:space="preserve">В связи со </w:t>
      </w:r>
      <w:r w:rsidR="00BE7B1C">
        <w:rPr>
          <w:b/>
          <w:sz w:val="30"/>
          <w:szCs w:val="30"/>
        </w:rPr>
        <w:t>вступлением в силу 8 июня 2023 г.</w:t>
      </w:r>
      <w:r w:rsidR="00BE7B1C">
        <w:rPr>
          <w:sz w:val="30"/>
          <w:szCs w:val="30"/>
        </w:rPr>
        <w:t xml:space="preserve"> внесенных изменений в постановление Совета Министров Республики Беларусь </w:t>
      </w:r>
      <w:r w:rsidR="00BE7B1C">
        <w:rPr>
          <w:sz w:val="30"/>
          <w:szCs w:val="30"/>
        </w:rPr>
        <w:br/>
        <w:t>от 25 января 1999 г. № 115 «Об установлении перечня выплат»</w:t>
      </w:r>
      <w:r w:rsidR="00BE7B1C">
        <w:rPr>
          <w:rStyle w:val="a7"/>
          <w:sz w:val="30"/>
          <w:szCs w:val="30"/>
        </w:rPr>
        <w:footnoteReference w:id="1"/>
      </w:r>
      <w:r w:rsidR="00BE7B1C">
        <w:rPr>
          <w:sz w:val="30"/>
          <w:szCs w:val="30"/>
        </w:rPr>
        <w:t xml:space="preserve"> </w:t>
      </w:r>
      <w:r w:rsidR="00BE7B1C">
        <w:rPr>
          <w:sz w:val="30"/>
          <w:szCs w:val="30"/>
        </w:rPr>
        <w:br/>
        <w:t>с учетом унификации с доходами, освобождаемыми от подоходного налога с физических лиц, и правоприменительной практикой, разъясняем порядок применения его отдельных норм.</w:t>
      </w:r>
    </w:p>
    <w:p w:rsidR="00BE7B1C" w:rsidRDefault="00BE7B1C" w:rsidP="00BE7B1C">
      <w:pPr>
        <w:tabs>
          <w:tab w:val="left" w:pos="7560"/>
        </w:tabs>
        <w:ind w:firstLine="743"/>
        <w:jc w:val="both"/>
        <w:rPr>
          <w:sz w:val="6"/>
          <w:szCs w:val="6"/>
        </w:rPr>
      </w:pPr>
    </w:p>
    <w:p w:rsidR="00BE7B1C" w:rsidRDefault="00BE7B1C" w:rsidP="00BE7B1C">
      <w:pPr>
        <w:tabs>
          <w:tab w:val="left" w:pos="7560"/>
        </w:tabs>
        <w:ind w:firstLine="743"/>
        <w:jc w:val="both"/>
        <w:rPr>
          <w:b/>
          <w:i/>
          <w:sz w:val="30"/>
          <w:szCs w:val="30"/>
        </w:rPr>
      </w:pPr>
      <w:r>
        <w:rPr>
          <w:b/>
          <w:i/>
          <w:sz w:val="30"/>
          <w:szCs w:val="30"/>
        </w:rPr>
        <w:t>Подпункт 9.1 пункта 9 Перечня</w:t>
      </w:r>
    </w:p>
    <w:p w:rsidR="00BE7B1C" w:rsidRDefault="00BE7B1C" w:rsidP="00BE7B1C">
      <w:pPr>
        <w:tabs>
          <w:tab w:val="left" w:pos="7560"/>
        </w:tabs>
        <w:ind w:firstLine="743"/>
        <w:jc w:val="both"/>
        <w:rPr>
          <w:b/>
          <w:i/>
          <w:sz w:val="6"/>
          <w:szCs w:val="6"/>
        </w:rPr>
      </w:pPr>
    </w:p>
    <w:p w:rsidR="00BE7B1C" w:rsidRDefault="00BE7B1C" w:rsidP="00BE7B1C">
      <w:pPr>
        <w:widowControl w:val="0"/>
        <w:ind w:firstLine="708"/>
        <w:jc w:val="both"/>
        <w:rPr>
          <w:rFonts w:eastAsia="Calibri"/>
          <w:sz w:val="30"/>
          <w:szCs w:val="30"/>
        </w:rPr>
      </w:pPr>
      <w:proofErr w:type="gramStart"/>
      <w:r>
        <w:rPr>
          <w:sz w:val="30"/>
          <w:szCs w:val="30"/>
        </w:rPr>
        <w:t xml:space="preserve">Закрепление Перечнем стоимости </w:t>
      </w:r>
      <w:r>
        <w:rPr>
          <w:b/>
          <w:sz w:val="30"/>
          <w:szCs w:val="30"/>
        </w:rPr>
        <w:t xml:space="preserve">приобретаемых работодателями для </w:t>
      </w:r>
      <w:r>
        <w:rPr>
          <w:b/>
          <w:sz w:val="30"/>
          <w:szCs w:val="30"/>
          <w:u w:val="single"/>
        </w:rPr>
        <w:t>общего пользования</w:t>
      </w:r>
      <w:r>
        <w:rPr>
          <w:sz w:val="30"/>
          <w:szCs w:val="30"/>
        </w:rPr>
        <w:t xml:space="preserve"> питьевой и минеральной воды, безалкогольных напитков (</w:t>
      </w:r>
      <w:r>
        <w:rPr>
          <w:i/>
          <w:sz w:val="30"/>
          <w:szCs w:val="30"/>
        </w:rPr>
        <w:t>чай, кофе, сок, др.</w:t>
      </w:r>
      <w:r>
        <w:rPr>
          <w:sz w:val="30"/>
          <w:szCs w:val="30"/>
        </w:rPr>
        <w:t>), продуктов питания (</w:t>
      </w:r>
      <w:r>
        <w:rPr>
          <w:i/>
          <w:sz w:val="30"/>
          <w:szCs w:val="30"/>
        </w:rPr>
        <w:t>конфеты, печенье, сахар, пр.</w:t>
      </w:r>
      <w:r>
        <w:rPr>
          <w:sz w:val="30"/>
          <w:szCs w:val="30"/>
        </w:rPr>
        <w:t>), одноразовой посуды (</w:t>
      </w:r>
      <w:r>
        <w:rPr>
          <w:i/>
          <w:sz w:val="30"/>
          <w:szCs w:val="30"/>
        </w:rPr>
        <w:t>пластиковые стаканчики, ложки, палочки для размешивания напитков, иное</w:t>
      </w:r>
      <w:r>
        <w:rPr>
          <w:sz w:val="30"/>
          <w:szCs w:val="30"/>
        </w:rPr>
        <w:t>), предметов личной гигиены (</w:t>
      </w:r>
      <w:r>
        <w:rPr>
          <w:i/>
          <w:sz w:val="30"/>
          <w:szCs w:val="30"/>
        </w:rPr>
        <w:t>туалетная бумага, салфетки, мыло и т.д.</w:t>
      </w:r>
      <w:r>
        <w:rPr>
          <w:sz w:val="30"/>
          <w:szCs w:val="30"/>
        </w:rPr>
        <w:t xml:space="preserve">) обусловлено невозможностью </w:t>
      </w:r>
      <w:r>
        <w:rPr>
          <w:rFonts w:eastAsia="Calibri"/>
          <w:sz w:val="30"/>
          <w:szCs w:val="30"/>
        </w:rPr>
        <w:t xml:space="preserve">организовать учет употребления (использования) указанных товаров </w:t>
      </w:r>
      <w:r>
        <w:rPr>
          <w:rFonts w:eastAsia="Calibri"/>
          <w:sz w:val="30"/>
          <w:szCs w:val="30"/>
        </w:rPr>
        <w:br/>
        <w:t>и, как следствие, определить лицо, в пользу которого</w:t>
      </w:r>
      <w:proofErr w:type="gramEnd"/>
      <w:r>
        <w:rPr>
          <w:rFonts w:eastAsia="Calibri"/>
          <w:sz w:val="30"/>
          <w:szCs w:val="30"/>
        </w:rPr>
        <w:t xml:space="preserve"> производится указанная выплата. </w:t>
      </w:r>
    </w:p>
    <w:p w:rsidR="00BE7B1C" w:rsidRDefault="00BE7B1C" w:rsidP="00BE7B1C">
      <w:pPr>
        <w:widowControl w:val="0"/>
        <w:ind w:firstLine="708"/>
        <w:jc w:val="both"/>
        <w:rPr>
          <w:sz w:val="30"/>
          <w:szCs w:val="30"/>
        </w:rPr>
      </w:pPr>
      <w:r>
        <w:rPr>
          <w:rFonts w:eastAsia="Calibri"/>
          <w:sz w:val="30"/>
          <w:szCs w:val="30"/>
        </w:rPr>
        <w:t xml:space="preserve">Подпункт в уточненной редакции применяется к списанным </w:t>
      </w:r>
      <w:r>
        <w:rPr>
          <w:sz w:val="30"/>
          <w:szCs w:val="30"/>
        </w:rPr>
        <w:t>с учета, фактически использованным</w:t>
      </w:r>
      <w:r>
        <w:rPr>
          <w:rFonts w:eastAsia="Calibri"/>
          <w:sz w:val="30"/>
          <w:szCs w:val="30"/>
        </w:rPr>
        <w:t xml:space="preserve"> </w:t>
      </w:r>
      <w:r>
        <w:rPr>
          <w:rFonts w:eastAsia="Calibri"/>
          <w:b/>
          <w:i/>
          <w:sz w:val="30"/>
          <w:szCs w:val="30"/>
        </w:rPr>
        <w:t xml:space="preserve">с 08.06.2023 </w:t>
      </w:r>
      <w:r>
        <w:rPr>
          <w:sz w:val="30"/>
          <w:szCs w:val="30"/>
        </w:rPr>
        <w:t>питьевой и минеральной воде, безалкогольным напиткам, продуктам питания.</w:t>
      </w:r>
    </w:p>
    <w:p w:rsidR="00BE7B1C" w:rsidRDefault="00BE7B1C" w:rsidP="00BE7B1C">
      <w:pPr>
        <w:widowControl w:val="0"/>
        <w:ind w:firstLine="708"/>
        <w:jc w:val="both"/>
        <w:rPr>
          <w:sz w:val="6"/>
          <w:szCs w:val="6"/>
        </w:rPr>
      </w:pPr>
    </w:p>
    <w:p w:rsidR="00BE7B1C" w:rsidRDefault="00BE7B1C" w:rsidP="00BE7B1C">
      <w:pPr>
        <w:tabs>
          <w:tab w:val="left" w:pos="7560"/>
        </w:tabs>
        <w:ind w:firstLine="743"/>
        <w:jc w:val="both"/>
        <w:rPr>
          <w:b/>
          <w:i/>
          <w:sz w:val="30"/>
          <w:szCs w:val="30"/>
        </w:rPr>
      </w:pPr>
      <w:r>
        <w:rPr>
          <w:b/>
          <w:i/>
          <w:sz w:val="30"/>
          <w:szCs w:val="30"/>
        </w:rPr>
        <w:t>Подпункт 9.10 пункта 9 перечня</w:t>
      </w:r>
    </w:p>
    <w:p w:rsidR="00BE7B1C" w:rsidRDefault="00BE7B1C" w:rsidP="00BE7B1C">
      <w:pPr>
        <w:tabs>
          <w:tab w:val="left" w:pos="7560"/>
        </w:tabs>
        <w:ind w:firstLine="743"/>
        <w:jc w:val="both"/>
        <w:rPr>
          <w:b/>
          <w:i/>
          <w:sz w:val="6"/>
          <w:szCs w:val="6"/>
        </w:rPr>
      </w:pPr>
    </w:p>
    <w:p w:rsidR="00BE7B1C" w:rsidRDefault="00BE7B1C" w:rsidP="00BE7B1C">
      <w:pPr>
        <w:widowControl w:val="0"/>
        <w:ind w:firstLine="708"/>
        <w:jc w:val="both"/>
        <w:rPr>
          <w:sz w:val="30"/>
          <w:szCs w:val="30"/>
        </w:rPr>
      </w:pPr>
      <w:r>
        <w:rPr>
          <w:sz w:val="30"/>
          <w:szCs w:val="30"/>
        </w:rPr>
        <w:t xml:space="preserve">Термин «юбилей» конкретизирован с целью однозначного понимания проводимого работодателем мероприятия – «юбилейная дата организации». </w:t>
      </w:r>
    </w:p>
    <w:p w:rsidR="00BE7B1C" w:rsidRDefault="00BE7B1C" w:rsidP="00BE7B1C">
      <w:pPr>
        <w:autoSpaceDE w:val="0"/>
        <w:autoSpaceDN w:val="0"/>
        <w:adjustRightInd w:val="0"/>
        <w:ind w:firstLine="708"/>
        <w:jc w:val="both"/>
        <w:rPr>
          <w:sz w:val="30"/>
          <w:szCs w:val="30"/>
        </w:rPr>
      </w:pPr>
      <w:r>
        <w:rPr>
          <w:sz w:val="30"/>
          <w:szCs w:val="30"/>
        </w:rPr>
        <w:t xml:space="preserve">В этой связи понятие «юбилейная дата организации» применяется </w:t>
      </w:r>
      <w:r>
        <w:rPr>
          <w:sz w:val="30"/>
          <w:szCs w:val="30"/>
        </w:rPr>
        <w:br/>
        <w:t>в значении, определенном в статье 195 Налогового кодекса Республики Беларусь (Особенная часть).</w:t>
      </w:r>
    </w:p>
    <w:p w:rsidR="00BE7B1C" w:rsidRDefault="00BE7B1C" w:rsidP="00BE7B1C">
      <w:pPr>
        <w:widowControl w:val="0"/>
        <w:ind w:firstLine="708"/>
        <w:jc w:val="both"/>
        <w:rPr>
          <w:sz w:val="6"/>
          <w:szCs w:val="6"/>
        </w:rPr>
      </w:pPr>
    </w:p>
    <w:p w:rsidR="00BE7B1C" w:rsidRDefault="00BE7B1C" w:rsidP="00BE7B1C">
      <w:pPr>
        <w:tabs>
          <w:tab w:val="left" w:pos="7560"/>
        </w:tabs>
        <w:ind w:firstLine="743"/>
        <w:jc w:val="both"/>
        <w:rPr>
          <w:b/>
          <w:i/>
          <w:sz w:val="30"/>
          <w:szCs w:val="30"/>
        </w:rPr>
      </w:pPr>
      <w:r>
        <w:rPr>
          <w:b/>
          <w:i/>
          <w:sz w:val="30"/>
          <w:szCs w:val="30"/>
        </w:rPr>
        <w:t>Пункт 15 Перечня</w:t>
      </w:r>
    </w:p>
    <w:p w:rsidR="00BE7B1C" w:rsidRDefault="00BE7B1C" w:rsidP="00BE7B1C">
      <w:pPr>
        <w:tabs>
          <w:tab w:val="left" w:pos="7560"/>
        </w:tabs>
        <w:ind w:firstLine="743"/>
        <w:jc w:val="both"/>
        <w:rPr>
          <w:b/>
          <w:i/>
          <w:sz w:val="6"/>
          <w:szCs w:val="6"/>
        </w:rPr>
      </w:pPr>
    </w:p>
    <w:p w:rsidR="00BE7B1C" w:rsidRDefault="00BE7B1C" w:rsidP="00BE7B1C">
      <w:pPr>
        <w:autoSpaceDE w:val="0"/>
        <w:autoSpaceDN w:val="0"/>
        <w:adjustRightInd w:val="0"/>
        <w:ind w:firstLine="708"/>
        <w:jc w:val="both"/>
        <w:rPr>
          <w:sz w:val="30"/>
          <w:szCs w:val="30"/>
        </w:rPr>
      </w:pPr>
      <w:r>
        <w:rPr>
          <w:b/>
          <w:sz w:val="30"/>
          <w:szCs w:val="30"/>
        </w:rPr>
        <w:t>Право на участие в правоотношениях</w:t>
      </w:r>
      <w:r>
        <w:rPr>
          <w:sz w:val="30"/>
          <w:szCs w:val="30"/>
        </w:rPr>
        <w:t xml:space="preserve"> по государственному социальному страхованию предоставляется, в частности, гражданам, работающим в Республике Беларусь, </w:t>
      </w:r>
      <w:r>
        <w:rPr>
          <w:b/>
          <w:sz w:val="30"/>
          <w:szCs w:val="30"/>
        </w:rPr>
        <w:t xml:space="preserve">участвующим в реализации </w:t>
      </w:r>
      <w:r>
        <w:rPr>
          <w:b/>
          <w:sz w:val="30"/>
          <w:szCs w:val="30"/>
        </w:rPr>
        <w:lastRenderedPageBreak/>
        <w:t>программ и проектов</w:t>
      </w:r>
      <w:r>
        <w:rPr>
          <w:sz w:val="30"/>
          <w:szCs w:val="30"/>
        </w:rPr>
        <w:t xml:space="preserve"> международной технической помощи (МТП)</w:t>
      </w:r>
      <w:r>
        <w:rPr>
          <w:sz w:val="30"/>
          <w:szCs w:val="30"/>
          <w:u w:val="single"/>
        </w:rPr>
        <w:t xml:space="preserve"> </w:t>
      </w:r>
      <w:r>
        <w:rPr>
          <w:b/>
          <w:sz w:val="30"/>
          <w:szCs w:val="30"/>
          <w:u w:val="single"/>
        </w:rPr>
        <w:t>Европейского союза</w:t>
      </w:r>
      <w:r>
        <w:rPr>
          <w:rStyle w:val="a7"/>
          <w:sz w:val="30"/>
          <w:szCs w:val="30"/>
        </w:rPr>
        <w:footnoteReference w:id="2"/>
      </w:r>
      <w:r>
        <w:rPr>
          <w:sz w:val="30"/>
          <w:szCs w:val="30"/>
        </w:rPr>
        <w:t>.</w:t>
      </w:r>
    </w:p>
    <w:p w:rsidR="00BE7B1C" w:rsidRDefault="00BE7B1C" w:rsidP="00BE7B1C">
      <w:pPr>
        <w:widowControl w:val="0"/>
        <w:ind w:firstLine="708"/>
        <w:jc w:val="both"/>
        <w:rPr>
          <w:sz w:val="30"/>
          <w:szCs w:val="30"/>
        </w:rPr>
      </w:pPr>
      <w:r>
        <w:rPr>
          <w:rFonts w:eastAsia="Calibri"/>
          <w:sz w:val="30"/>
          <w:szCs w:val="30"/>
        </w:rPr>
        <w:t>В целях обеспечения сохранения условий для работающих граждан, участвующих в реализации программ и проектов МТП, в системе социального и пенсионного страхования у</w:t>
      </w:r>
      <w:r>
        <w:rPr>
          <w:sz w:val="30"/>
          <w:szCs w:val="30"/>
        </w:rPr>
        <w:t xml:space="preserve">точнен порядок исключения </w:t>
      </w:r>
      <w:r>
        <w:rPr>
          <w:sz w:val="30"/>
          <w:szCs w:val="30"/>
        </w:rPr>
        <w:br/>
        <w:t xml:space="preserve">из объекта для начисления обязательных страховых взносов выплат </w:t>
      </w:r>
      <w:r>
        <w:rPr>
          <w:sz w:val="30"/>
          <w:szCs w:val="30"/>
        </w:rPr>
        <w:br/>
        <w:t>из указанных средств.</w:t>
      </w:r>
    </w:p>
    <w:p w:rsidR="00BE7B1C" w:rsidRDefault="00BE7B1C" w:rsidP="00BE7B1C">
      <w:pPr>
        <w:widowControl w:val="0"/>
        <w:ind w:firstLine="708"/>
        <w:jc w:val="both"/>
        <w:rPr>
          <w:sz w:val="30"/>
          <w:szCs w:val="30"/>
        </w:rPr>
      </w:pPr>
      <w:proofErr w:type="gramStart"/>
      <w:r>
        <w:rPr>
          <w:sz w:val="30"/>
          <w:szCs w:val="30"/>
        </w:rPr>
        <w:t xml:space="preserve">Соответственно, получатели международной технической помощи </w:t>
      </w:r>
      <w:r>
        <w:rPr>
          <w:sz w:val="30"/>
          <w:szCs w:val="30"/>
        </w:rPr>
        <w:br/>
        <w:t xml:space="preserve">из числа граждан Республики Беларусь, </w:t>
      </w:r>
      <w:r>
        <w:rPr>
          <w:b/>
          <w:sz w:val="30"/>
          <w:szCs w:val="30"/>
        </w:rPr>
        <w:t>донором которой не выступает Европейский союз</w:t>
      </w:r>
      <w:r>
        <w:rPr>
          <w:sz w:val="30"/>
          <w:szCs w:val="30"/>
        </w:rPr>
        <w:t xml:space="preserve">, уплачивающие обязательные страховые взносы </w:t>
      </w:r>
      <w:r>
        <w:rPr>
          <w:sz w:val="30"/>
          <w:szCs w:val="30"/>
        </w:rPr>
        <w:br/>
        <w:t>в бюджет государственного внебюджетного фонда социальной защиты населения Республики Беларусь (взносы в бюджет фонда) самостоятельно (в индивидуальном порядке) подлежат снятию с учета в органах Фонда социальной защиты населения Министерства труда и социальной защиты.</w:t>
      </w:r>
      <w:proofErr w:type="gramEnd"/>
    </w:p>
    <w:p w:rsidR="00BE7B1C" w:rsidRDefault="00BE7B1C" w:rsidP="00BE7B1C">
      <w:pPr>
        <w:widowControl w:val="0"/>
        <w:ind w:firstLine="708"/>
        <w:jc w:val="both"/>
        <w:rPr>
          <w:sz w:val="30"/>
          <w:szCs w:val="30"/>
        </w:rPr>
      </w:pPr>
      <w:r>
        <w:rPr>
          <w:sz w:val="30"/>
          <w:szCs w:val="30"/>
        </w:rPr>
        <w:t>Обязанность по уплате взносов в бюджет фонда с выплат</w:t>
      </w:r>
      <w:r>
        <w:rPr>
          <w:sz w:val="30"/>
          <w:szCs w:val="20"/>
        </w:rPr>
        <w:t xml:space="preserve"> из средств МТП</w:t>
      </w:r>
      <w:r>
        <w:rPr>
          <w:sz w:val="30"/>
          <w:szCs w:val="30"/>
        </w:rPr>
        <w:t xml:space="preserve">, начисляемых </w:t>
      </w:r>
      <w:proofErr w:type="gramStart"/>
      <w:r>
        <w:rPr>
          <w:sz w:val="30"/>
          <w:szCs w:val="30"/>
        </w:rPr>
        <w:t>с даты вступления</w:t>
      </w:r>
      <w:proofErr w:type="gramEnd"/>
      <w:r>
        <w:rPr>
          <w:sz w:val="30"/>
          <w:szCs w:val="30"/>
        </w:rPr>
        <w:t xml:space="preserve"> </w:t>
      </w:r>
      <w:r>
        <w:rPr>
          <w:i/>
          <w:sz w:val="30"/>
          <w:szCs w:val="30"/>
        </w:rPr>
        <w:t>в силу подпункта 1.1. пункта 1</w:t>
      </w:r>
      <w:r>
        <w:rPr>
          <w:sz w:val="30"/>
          <w:szCs w:val="30"/>
        </w:rPr>
        <w:t xml:space="preserve"> </w:t>
      </w:r>
      <w:r>
        <w:rPr>
          <w:i/>
          <w:sz w:val="30"/>
          <w:szCs w:val="30"/>
        </w:rPr>
        <w:t>постановления Совета Министров Республики Беларусь от 03.06.2023 № 366 «Об изменении постановлений Совета Министров Республики Беларусь»</w:t>
      </w:r>
      <w:r>
        <w:rPr>
          <w:sz w:val="30"/>
          <w:szCs w:val="30"/>
        </w:rPr>
        <w:t>, возложена на работодателей указанных граждан.</w:t>
      </w:r>
    </w:p>
    <w:p w:rsidR="00BE7B1C" w:rsidRDefault="00BE7B1C" w:rsidP="00BE7B1C">
      <w:pPr>
        <w:pStyle w:val="a5"/>
        <w:tabs>
          <w:tab w:val="left" w:pos="6804"/>
        </w:tabs>
        <w:ind w:firstLine="709"/>
        <w:rPr>
          <w:sz w:val="30"/>
          <w:szCs w:val="30"/>
        </w:rPr>
      </w:pPr>
      <w:r>
        <w:rPr>
          <w:sz w:val="30"/>
          <w:szCs w:val="30"/>
        </w:rPr>
        <w:t xml:space="preserve">Иные внесенные изменения в перечень связаны </w:t>
      </w:r>
      <w:r>
        <w:rPr>
          <w:sz w:val="30"/>
          <w:szCs w:val="30"/>
        </w:rPr>
        <w:br/>
        <w:t>с правоприменительной практикой и (или) носят редакционный характер.</w:t>
      </w:r>
    </w:p>
    <w:p w:rsidR="00BE7B1C" w:rsidRDefault="00BE7B1C" w:rsidP="00BE7B1C">
      <w:pPr>
        <w:pStyle w:val="a5"/>
        <w:tabs>
          <w:tab w:val="left" w:pos="6804"/>
        </w:tabs>
        <w:spacing w:line="360" w:lineRule="auto"/>
        <w:ind w:firstLine="0"/>
        <w:jc w:val="left"/>
        <w:rPr>
          <w:sz w:val="30"/>
          <w:szCs w:val="30"/>
        </w:rPr>
      </w:pPr>
    </w:p>
    <w:p w:rsidR="00574156" w:rsidRDefault="00574156"/>
    <w:sectPr w:rsidR="005741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08" w:rsidRDefault="00C05008" w:rsidP="00BE7B1C">
      <w:r>
        <w:separator/>
      </w:r>
    </w:p>
  </w:endnote>
  <w:endnote w:type="continuationSeparator" w:id="0">
    <w:p w:rsidR="00C05008" w:rsidRDefault="00C05008" w:rsidP="00BE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08" w:rsidRDefault="00C05008" w:rsidP="00BE7B1C">
      <w:r>
        <w:separator/>
      </w:r>
    </w:p>
  </w:footnote>
  <w:footnote w:type="continuationSeparator" w:id="0">
    <w:p w:rsidR="00C05008" w:rsidRDefault="00C05008" w:rsidP="00BE7B1C">
      <w:r>
        <w:continuationSeparator/>
      </w:r>
    </w:p>
  </w:footnote>
  <w:footnote w:id="1">
    <w:p w:rsidR="00BE7B1C" w:rsidRDefault="00BE7B1C" w:rsidP="00BE7B1C">
      <w:pPr>
        <w:pStyle w:val="a4"/>
        <w:jc w:val="both"/>
        <w:rPr>
          <w:color w:val="FF0000"/>
          <w:sz w:val="18"/>
          <w:szCs w:val="18"/>
        </w:rPr>
      </w:pPr>
      <w:r>
        <w:rPr>
          <w:rStyle w:val="a7"/>
        </w:rPr>
        <w:footnoteRef/>
      </w:r>
      <w:r>
        <w:t> П</w:t>
      </w:r>
      <w:r>
        <w:rPr>
          <w:sz w:val="18"/>
          <w:szCs w:val="18"/>
        </w:rPr>
        <w:t xml:space="preserve">еречень выплат, на которые не начисляются взносы на государственное социальное страхование, в том числе </w:t>
      </w:r>
      <w:r>
        <w:rPr>
          <w:sz w:val="18"/>
          <w:szCs w:val="18"/>
        </w:rPr>
        <w:br/>
        <w:t xml:space="preserve">на профессиональное пенсионное страхование,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w:t>
      </w:r>
      <w:r>
        <w:rPr>
          <w:sz w:val="18"/>
          <w:szCs w:val="18"/>
        </w:rPr>
        <w:br/>
        <w:t>и профессиональных заболеваний в Белорусское республиканское унитарное страховое предприятие «</w:t>
      </w:r>
      <w:proofErr w:type="spellStart"/>
      <w:r>
        <w:rPr>
          <w:sz w:val="18"/>
          <w:szCs w:val="18"/>
        </w:rPr>
        <w:t>Белгосстрах</w:t>
      </w:r>
      <w:proofErr w:type="spellEnd"/>
      <w:r>
        <w:rPr>
          <w:sz w:val="18"/>
          <w:szCs w:val="18"/>
        </w:rPr>
        <w:t>» (Перечень)</w:t>
      </w:r>
    </w:p>
  </w:footnote>
  <w:footnote w:id="2">
    <w:p w:rsidR="00BE7B1C" w:rsidRDefault="00BE7B1C" w:rsidP="00BE7B1C">
      <w:pPr>
        <w:pStyle w:val="a4"/>
        <w:jc w:val="both"/>
        <w:rPr>
          <w:sz w:val="20"/>
          <w:szCs w:val="20"/>
        </w:rPr>
      </w:pPr>
      <w:r>
        <w:rPr>
          <w:rStyle w:val="a7"/>
        </w:rPr>
        <w:footnoteRef/>
      </w:r>
      <w:r>
        <w:t xml:space="preserve"> Часть вторая с</w:t>
      </w:r>
      <w:r>
        <w:rPr>
          <w:sz w:val="18"/>
          <w:szCs w:val="18"/>
        </w:rPr>
        <w:t>татьи 7 Закона Республики Беларусь от 31.01.1995 № 3563-XII «Об основах государственного социального страхования», статьи 1, 13 Закона Республики Беларусь от 15.07.2021 № 118-З «О взносах в бюджет государственного внебюджетного фонда социальной защиты населения Республики Беларусь»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1C"/>
    <w:rsid w:val="00574156"/>
    <w:rsid w:val="00B32DB3"/>
    <w:rsid w:val="00BE7B1C"/>
    <w:rsid w:val="00C05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B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4"/>
    <w:uiPriority w:val="99"/>
    <w:semiHidden/>
    <w:locked/>
    <w:rsid w:val="00BE7B1C"/>
  </w:style>
  <w:style w:type="paragraph" w:styleId="a4">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3"/>
    <w:uiPriority w:val="99"/>
    <w:semiHidden/>
    <w:unhideWhenUsed/>
    <w:rsid w:val="00BE7B1C"/>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BE7B1C"/>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BE7B1C"/>
    <w:pPr>
      <w:ind w:firstLine="540"/>
      <w:jc w:val="both"/>
    </w:pPr>
  </w:style>
  <w:style w:type="character" w:customStyle="1" w:styleId="a6">
    <w:name w:val="Основной текст с отступом Знак"/>
    <w:basedOn w:val="a0"/>
    <w:link w:val="a5"/>
    <w:semiHidden/>
    <w:rsid w:val="00BE7B1C"/>
    <w:rPr>
      <w:rFonts w:ascii="Times New Roman" w:eastAsia="Times New Roman" w:hAnsi="Times New Roman" w:cs="Times New Roman"/>
      <w:sz w:val="24"/>
      <w:szCs w:val="24"/>
      <w:lang w:eastAsia="ru-RU"/>
    </w:rPr>
  </w:style>
  <w:style w:type="character" w:styleId="a7">
    <w:name w:val="footnote reference"/>
    <w:uiPriority w:val="99"/>
    <w:semiHidden/>
    <w:unhideWhenUsed/>
    <w:rsid w:val="00BE7B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B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4"/>
    <w:uiPriority w:val="99"/>
    <w:semiHidden/>
    <w:locked/>
    <w:rsid w:val="00BE7B1C"/>
  </w:style>
  <w:style w:type="paragraph" w:styleId="a4">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3"/>
    <w:uiPriority w:val="99"/>
    <w:semiHidden/>
    <w:unhideWhenUsed/>
    <w:rsid w:val="00BE7B1C"/>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BE7B1C"/>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BE7B1C"/>
    <w:pPr>
      <w:ind w:firstLine="540"/>
      <w:jc w:val="both"/>
    </w:pPr>
  </w:style>
  <w:style w:type="character" w:customStyle="1" w:styleId="a6">
    <w:name w:val="Основной текст с отступом Знак"/>
    <w:basedOn w:val="a0"/>
    <w:link w:val="a5"/>
    <w:semiHidden/>
    <w:rsid w:val="00BE7B1C"/>
    <w:rPr>
      <w:rFonts w:ascii="Times New Roman" w:eastAsia="Times New Roman" w:hAnsi="Times New Roman" w:cs="Times New Roman"/>
      <w:sz w:val="24"/>
      <w:szCs w:val="24"/>
      <w:lang w:eastAsia="ru-RU"/>
    </w:rPr>
  </w:style>
  <w:style w:type="character" w:styleId="a7">
    <w:name w:val="footnote reference"/>
    <w:uiPriority w:val="99"/>
    <w:semiHidden/>
    <w:unhideWhenUsed/>
    <w:rsid w:val="00BE7B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78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Витебское областное управление ФСЗН</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Иуто Анна Ивановна</dc:creator>
  <cp:lastModifiedBy>Качан Наталья Эдвардовна</cp:lastModifiedBy>
  <cp:revision>2</cp:revision>
  <cp:lastPrinted>2023-06-29T08:47:00Z</cp:lastPrinted>
  <dcterms:created xsi:type="dcterms:W3CDTF">2023-06-29T08:46:00Z</dcterms:created>
  <dcterms:modified xsi:type="dcterms:W3CDTF">2023-06-30T07:44:00Z</dcterms:modified>
</cp:coreProperties>
</file>